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73049" w14:textId="77777777" w:rsidR="00712D64" w:rsidRDefault="00712D64" w:rsidP="00712D64">
      <w:pPr>
        <w:pStyle w:val="Heading1"/>
      </w:pPr>
      <w:r>
        <w:t xml:space="preserve">Do I need to notify my premises?  </w:t>
      </w:r>
    </w:p>
    <w:p w14:paraId="7B44412C" w14:textId="77777777" w:rsidR="00712D64" w:rsidRDefault="00712D64" w:rsidP="000B27C4">
      <w:pPr>
        <w:pStyle w:val="Heading2"/>
      </w:pPr>
      <w:r>
        <w:t xml:space="preserve">A guide to the Hazardous Waste regulations  </w:t>
      </w:r>
    </w:p>
    <w:p w14:paraId="04854154" w14:textId="77777777" w:rsidR="00712D64" w:rsidRDefault="00712D64" w:rsidP="000B27C4">
      <w:pPr>
        <w:pStyle w:val="Heading3"/>
      </w:pPr>
      <w:r>
        <w:t xml:space="preserve">Aims </w:t>
      </w:r>
    </w:p>
    <w:p w14:paraId="0727EF3D" w14:textId="77777777" w:rsidR="00712D64" w:rsidRDefault="00712D64" w:rsidP="00712D64">
      <w:pPr>
        <w:pStyle w:val="BodyText"/>
      </w:pPr>
      <w:r>
        <w:t xml:space="preserve">You should read this guide if you want to find out if you are required to notify (register) your premises because of the Hazardous Waste Regulations (HWR). </w:t>
      </w:r>
    </w:p>
    <w:p w14:paraId="2211A1B9" w14:textId="77777777" w:rsidR="00712D64" w:rsidRDefault="00712D64" w:rsidP="00712D64">
      <w:pPr>
        <w:pStyle w:val="BodyText"/>
      </w:pPr>
      <w:r>
        <w:t xml:space="preserve">If you are required to notify your premises but do not, you will be breaking the law if you produce any hazardous waste or have any hazardous waste removed from your premises. </w:t>
      </w:r>
    </w:p>
    <w:p w14:paraId="1975F047" w14:textId="77777777" w:rsidR="00712D64" w:rsidRDefault="00712D64" w:rsidP="00712D64">
      <w:pPr>
        <w:pStyle w:val="BodyText"/>
      </w:pPr>
      <w:r>
        <w:t xml:space="preserve">When you notify your premises in accordance with the HWR, the details are placed on a register and you will be given a hazardous waste producer registration number called a ‘premises code’. </w:t>
      </w:r>
    </w:p>
    <w:p w14:paraId="5C8FA4DD" w14:textId="77777777" w:rsidR="00712D64" w:rsidRDefault="00712D64" w:rsidP="00712D64">
      <w:pPr>
        <w:pStyle w:val="BodyText"/>
      </w:pPr>
      <w:r>
        <w:t xml:space="preserve">The whole notification </w:t>
      </w:r>
      <w:proofErr w:type="gramStart"/>
      <w:r>
        <w:t>process  is</w:t>
      </w:r>
      <w:proofErr w:type="gramEnd"/>
      <w:r>
        <w:t xml:space="preserve">  often  referred  to  as  ‘registration’.  In this document the terms notify or notification and register or registration are used interchangeably and mean the same thing. </w:t>
      </w:r>
    </w:p>
    <w:p w14:paraId="0DB4A0A8" w14:textId="77777777" w:rsidR="00712D64" w:rsidRDefault="00712D64" w:rsidP="00712D64">
      <w:pPr>
        <w:pStyle w:val="BodyText"/>
      </w:pPr>
      <w:r>
        <w:t xml:space="preserve">The term consignment means to move hazardous waste from one premises to another. </w:t>
      </w:r>
    </w:p>
    <w:p w14:paraId="658415DC" w14:textId="4A20DB02" w:rsidR="00712D64" w:rsidRDefault="00712D64" w:rsidP="00712D64">
      <w:pPr>
        <w:pStyle w:val="BodyText"/>
      </w:pPr>
      <w:r>
        <w:t xml:space="preserve">This guide only applies to hazardous waste producers and holders in Wales. It is part of a series of documents that explain how the HWR work. </w:t>
      </w:r>
    </w:p>
    <w:p w14:paraId="1747880B" w14:textId="697EC18D" w:rsidR="00712D64" w:rsidRDefault="00712D64" w:rsidP="00712D64">
      <w:pPr>
        <w:pStyle w:val="BodyText"/>
      </w:pPr>
      <w:r>
        <w:t xml:space="preserve">This guide explains whether you might be excluded or exempt from notification. </w:t>
      </w:r>
    </w:p>
    <w:p w14:paraId="2E3ACFC9" w14:textId="77777777" w:rsidR="00712D64" w:rsidRDefault="00712D64" w:rsidP="00712D64">
      <w:pPr>
        <w:pStyle w:val="BodyText"/>
      </w:pPr>
      <w:r>
        <w:t xml:space="preserve">The information in this guide is based on what we know </w:t>
      </w:r>
      <w:proofErr w:type="gramStart"/>
      <w:r>
        <w:t>at the moment</w:t>
      </w:r>
      <w:proofErr w:type="gramEnd"/>
      <w:r>
        <w:t xml:space="preserve">. It may change in the future if there is a change in Law, guidance from the Government changes or as a result of our experience in regulating hazardous waste. </w:t>
      </w:r>
    </w:p>
    <w:p w14:paraId="214217EE" w14:textId="77777777" w:rsidR="00712D64" w:rsidRDefault="00712D64" w:rsidP="000B27C4">
      <w:pPr>
        <w:pStyle w:val="Heading3"/>
      </w:pPr>
      <w:r>
        <w:t xml:space="preserve">What are premises? </w:t>
      </w:r>
    </w:p>
    <w:p w14:paraId="7F9CCAFE" w14:textId="77777777" w:rsidR="00712D64" w:rsidRDefault="00712D64" w:rsidP="00712D64">
      <w:pPr>
        <w:pStyle w:val="BodyText"/>
      </w:pPr>
      <w:r>
        <w:t xml:space="preserve">The HWR define premises to include land and any ship and any other means of transport from which a mobile service is operated. </w:t>
      </w:r>
    </w:p>
    <w:p w14:paraId="3D2461B1" w14:textId="77777777" w:rsidR="00712D64" w:rsidRDefault="00712D64" w:rsidP="00712D64">
      <w:pPr>
        <w:pStyle w:val="BodyText"/>
      </w:pPr>
      <w:r>
        <w:t xml:space="preserve">This means that any place or vehicle from which a mobile service is operated can be premises and will need to register unless excluded or exempt. </w:t>
      </w:r>
    </w:p>
    <w:p w14:paraId="37C4A109" w14:textId="77777777" w:rsidR="00712D64" w:rsidRDefault="00712D64" w:rsidP="000B27C4">
      <w:pPr>
        <w:pStyle w:val="Heading3"/>
      </w:pPr>
      <w:r>
        <w:t xml:space="preserve">Are there any exclusions or exemptions from notification? </w:t>
      </w:r>
    </w:p>
    <w:p w14:paraId="0D62B907" w14:textId="77777777" w:rsidR="00712D64" w:rsidRDefault="00712D64" w:rsidP="000B27C4">
      <w:pPr>
        <w:pStyle w:val="Heading4"/>
      </w:pPr>
      <w:r>
        <w:t xml:space="preserve">Domestic premises </w:t>
      </w:r>
    </w:p>
    <w:p w14:paraId="1F610475" w14:textId="77777777" w:rsidR="00712D64" w:rsidRDefault="00712D64" w:rsidP="00712D64">
      <w:pPr>
        <w:pStyle w:val="BodyText"/>
      </w:pPr>
      <w:r>
        <w:t xml:space="preserve">The HWR do not apply to domestic waste except where that waste is: </w:t>
      </w:r>
    </w:p>
    <w:p w14:paraId="67F4B7D8" w14:textId="77777777" w:rsidR="00712D64" w:rsidRDefault="00712D64" w:rsidP="00071E5F">
      <w:pPr>
        <w:pStyle w:val="BodyText"/>
        <w:numPr>
          <w:ilvl w:val="0"/>
          <w:numId w:val="22"/>
        </w:numPr>
      </w:pPr>
      <w:r>
        <w:lastRenderedPageBreak/>
        <w:t xml:space="preserve">asbestos produced by a contractor. In this case, the contractor may have to notify the place where the waste is collected from (if those premises are not exempt); or </w:t>
      </w:r>
    </w:p>
    <w:p w14:paraId="323DD447" w14:textId="77777777" w:rsidR="00712D64" w:rsidRDefault="00712D64" w:rsidP="00071E5F">
      <w:pPr>
        <w:pStyle w:val="BodyText"/>
        <w:numPr>
          <w:ilvl w:val="0"/>
          <w:numId w:val="22"/>
        </w:numPr>
      </w:pPr>
      <w:r>
        <w:t>“</w:t>
      </w:r>
      <w:proofErr w:type="gramStart"/>
      <w:r>
        <w:t>separated  domestic</w:t>
      </w:r>
      <w:proofErr w:type="gramEnd"/>
      <w:r>
        <w:t xml:space="preserve">  fractions”  (other  than  asbestos).  </w:t>
      </w:r>
      <w:proofErr w:type="gramStart"/>
      <w:r>
        <w:t>In  this</w:t>
      </w:r>
      <w:proofErr w:type="gramEnd"/>
      <w:r>
        <w:t xml:space="preserve">  case,  the premises it is collected from will not need to be notified. The place where this waste is taken to must be notified (unless those premises are exempt). </w:t>
      </w:r>
    </w:p>
    <w:p w14:paraId="09057679" w14:textId="77777777" w:rsidR="00712D64" w:rsidRDefault="00712D64" w:rsidP="000B27C4">
      <w:pPr>
        <w:pStyle w:val="Heading4"/>
      </w:pPr>
      <w:proofErr w:type="spellStart"/>
      <w:r>
        <w:t>Flytipped</w:t>
      </w:r>
      <w:proofErr w:type="spellEnd"/>
      <w:r>
        <w:t xml:space="preserve"> waste </w:t>
      </w:r>
    </w:p>
    <w:p w14:paraId="319EA8CB" w14:textId="77777777" w:rsidR="00712D64" w:rsidRDefault="00712D64" w:rsidP="00712D64">
      <w:pPr>
        <w:pStyle w:val="BodyText"/>
      </w:pPr>
      <w:r>
        <w:t xml:space="preserve">The HWR state that where waste has been </w:t>
      </w:r>
      <w:proofErr w:type="spellStart"/>
      <w:r>
        <w:t>flytipped</w:t>
      </w:r>
      <w:proofErr w:type="spellEnd"/>
      <w:r>
        <w:t xml:space="preserve">, it may be removed from those premises without those premises being notified. For example, where waste has been </w:t>
      </w:r>
      <w:proofErr w:type="spellStart"/>
      <w:r>
        <w:t>flytipped</w:t>
      </w:r>
      <w:proofErr w:type="spellEnd"/>
      <w:r>
        <w:t xml:space="preserve"> on land, that waste may be removed without the site being registered. </w:t>
      </w:r>
    </w:p>
    <w:p w14:paraId="3FC1D8B5" w14:textId="77777777" w:rsidR="00CC7AE2" w:rsidRDefault="00712D64" w:rsidP="00712D64">
      <w:pPr>
        <w:pStyle w:val="BodyText"/>
      </w:pPr>
      <w:r>
        <w:t xml:space="preserve">Where mobile service operators produce </w:t>
      </w:r>
      <w:proofErr w:type="gramStart"/>
      <w:r>
        <w:t>all of</w:t>
      </w:r>
      <w:proofErr w:type="gramEnd"/>
      <w:r>
        <w:t xml:space="preserve"> your hazardous waste Premises may have all of their waste produced during construction, repair or maintenance by one or more mobile services. In this case you may not need to notify your premises. </w:t>
      </w:r>
    </w:p>
    <w:p w14:paraId="55AAA58D" w14:textId="0D44AE17" w:rsidR="00712D64" w:rsidRDefault="008D7A83" w:rsidP="00712D64">
      <w:pPr>
        <w:pStyle w:val="BodyText"/>
      </w:pPr>
      <w:hyperlink r:id="rId12" w:history="1">
        <w:r w:rsidR="00CC7AE2" w:rsidRPr="008D7A83">
          <w:rPr>
            <w:rStyle w:val="Hyperlink"/>
          </w:rPr>
          <w:t>Read more about the rules on mobile services</w:t>
        </w:r>
      </w:hyperlink>
      <w:r w:rsidR="00CC7AE2">
        <w:t>.</w:t>
      </w:r>
    </w:p>
    <w:p w14:paraId="2B733FCC" w14:textId="40BAE138" w:rsidR="001C0F4F" w:rsidRDefault="00712D64" w:rsidP="00F22179">
      <w:pPr>
        <w:pStyle w:val="Heading4"/>
      </w:pPr>
      <w:r>
        <w:t xml:space="preserve">Any premises identified in our </w:t>
      </w:r>
      <w:r w:rsidR="00F22179">
        <w:t>g</w:t>
      </w:r>
      <w:r>
        <w:t xml:space="preserve">uidance </w:t>
      </w:r>
      <w:r w:rsidR="00F22179">
        <w:t>s</w:t>
      </w:r>
      <w:r>
        <w:t xml:space="preserve">tatement of premises notification </w:t>
      </w:r>
    </w:p>
    <w:p w14:paraId="6820A4A5" w14:textId="77777777" w:rsidR="00F22179" w:rsidRDefault="00712D64" w:rsidP="00712D64">
      <w:pPr>
        <w:pStyle w:val="BodyText"/>
      </w:pPr>
      <w:r>
        <w:t xml:space="preserve">We may decide that </w:t>
      </w:r>
      <w:proofErr w:type="gramStart"/>
      <w:r>
        <w:t>in particular circumstances</w:t>
      </w:r>
      <w:proofErr w:type="gramEnd"/>
      <w:r>
        <w:t xml:space="preserve"> there is no requirement to notify premises. </w:t>
      </w:r>
    </w:p>
    <w:p w14:paraId="5D3EFEEC" w14:textId="23AFB7BF" w:rsidR="00712D64" w:rsidRDefault="00F258E2" w:rsidP="00712D64">
      <w:pPr>
        <w:pStyle w:val="BodyText"/>
      </w:pPr>
      <w:hyperlink r:id="rId13" w:history="1">
        <w:r w:rsidR="00F22179" w:rsidRPr="00F258E2">
          <w:rPr>
            <w:rStyle w:val="Hyperlink"/>
          </w:rPr>
          <w:t>Read our guidance statement</w:t>
        </w:r>
        <w:r w:rsidR="00374C28" w:rsidRPr="00F258E2">
          <w:rPr>
            <w:rStyle w:val="Hyperlink"/>
          </w:rPr>
          <w:t xml:space="preserve"> for premises notification.</w:t>
        </w:r>
      </w:hyperlink>
      <w:bookmarkStart w:id="0" w:name="_GoBack"/>
      <w:bookmarkEnd w:id="0"/>
      <w:r w:rsidR="00712D64">
        <w:t xml:space="preserve"> </w:t>
      </w:r>
    </w:p>
    <w:p w14:paraId="74364C93" w14:textId="77777777" w:rsidR="00712D64" w:rsidRDefault="00712D64" w:rsidP="000B27C4">
      <w:pPr>
        <w:pStyle w:val="Heading4"/>
      </w:pPr>
      <w:r>
        <w:t xml:space="preserve">Other exemptions </w:t>
      </w:r>
    </w:p>
    <w:p w14:paraId="54C67A0D" w14:textId="68C1F73A" w:rsidR="00712D64" w:rsidRDefault="00712D64" w:rsidP="00712D64">
      <w:pPr>
        <w:pStyle w:val="BodyText"/>
      </w:pPr>
      <w:r>
        <w:t xml:space="preserve">If a </w:t>
      </w:r>
      <w:proofErr w:type="gramStart"/>
      <w:r>
        <w:t>premises</w:t>
      </w:r>
      <w:proofErr w:type="gramEnd"/>
      <w:r>
        <w:t xml:space="preserve"> can comply with conditions 1 and 2 below then it will be exempt. </w:t>
      </w:r>
    </w:p>
    <w:p w14:paraId="5D452827" w14:textId="6094A8C0" w:rsidR="00712D64" w:rsidRDefault="00712D64" w:rsidP="00712D64">
      <w:pPr>
        <w:pStyle w:val="BodyText"/>
      </w:pPr>
      <w:r>
        <w:t xml:space="preserve">Condition 1:  </w:t>
      </w:r>
      <w:proofErr w:type="gramStart"/>
      <w:r>
        <w:t>Does  a</w:t>
      </w:r>
      <w:proofErr w:type="gramEnd"/>
      <w:r>
        <w:t xml:space="preserve">  registered  carrier  or  an  exempt  carrier  collect  all  the hazardous waste? The HWR state that all hazardous waste must be collected by either a registered carrier or exempt carrier. If not, the premises must be notified. There are other environmental regulations that require anyone who carries waste must be registered with Natural Resources Wales before they can do so. (This is a different sort of registration to notifying premises). </w:t>
      </w:r>
    </w:p>
    <w:p w14:paraId="421AA68A" w14:textId="3503F7EA" w:rsidR="00CC7AE2" w:rsidRDefault="007B06E2" w:rsidP="00712D64">
      <w:pPr>
        <w:pStyle w:val="BodyText"/>
      </w:pPr>
      <w:hyperlink r:id="rId14" w:history="1">
        <w:r w:rsidR="00CC7AE2" w:rsidRPr="00CC7AE2">
          <w:rPr>
            <w:rStyle w:val="Hyperlink"/>
          </w:rPr>
          <w:t>Read more about registering as a waste carrier, broker or dealer</w:t>
        </w:r>
      </w:hyperlink>
      <w:r w:rsidR="00CC7AE2">
        <w:t xml:space="preserve">. </w:t>
      </w:r>
    </w:p>
    <w:p w14:paraId="01CC7458" w14:textId="77777777" w:rsidR="00712D64" w:rsidRDefault="00712D64" w:rsidP="00712D64">
      <w:pPr>
        <w:pStyle w:val="BodyText"/>
      </w:pPr>
      <w:r>
        <w:t xml:space="preserve">If you use an unregistered carrier or one who is not exempt from registration to move your waste, you will be breaking the law (and so will the carrier). </w:t>
      </w:r>
    </w:p>
    <w:p w14:paraId="1B98183B" w14:textId="77777777" w:rsidR="00712D64" w:rsidRDefault="00712D64" w:rsidP="00712D64">
      <w:pPr>
        <w:pStyle w:val="BodyText"/>
      </w:pPr>
      <w:proofErr w:type="gramStart"/>
      <w:r>
        <w:t>Condition  2</w:t>
      </w:r>
      <w:proofErr w:type="gramEnd"/>
      <w:r>
        <w:t xml:space="preserve">: How much hazardous waste do you produce in any 12 month period? </w:t>
      </w:r>
      <w:proofErr w:type="gramStart"/>
      <w:r>
        <w:t>The  HWR</w:t>
      </w:r>
      <w:proofErr w:type="gramEnd"/>
      <w:r>
        <w:t xml:space="preserve">  state  that  premises  may  only  be  exempt  if  the  “qualifying limitation is observed”. This limit is 500kg of hazardous waste in any </w:t>
      </w:r>
      <w:proofErr w:type="gramStart"/>
      <w:r>
        <w:t>12 month</w:t>
      </w:r>
      <w:proofErr w:type="gramEnd"/>
      <w:r>
        <w:t xml:space="preserve"> period”. If you plan to, or </w:t>
      </w:r>
      <w:proofErr w:type="gramStart"/>
      <w:r>
        <w:t>actually do</w:t>
      </w:r>
      <w:proofErr w:type="gramEnd"/>
      <w:r>
        <w:t xml:space="preserve"> produce, collect or remove 500 kg or more you will need to notify those premises. Where hazardous waste is removed from a ship, the ship does not need to be registered. There is no limit on the amount of hazardous waste that can be produced on, or removed from, a ship. </w:t>
      </w:r>
    </w:p>
    <w:p w14:paraId="34E6551F" w14:textId="68B6EBC5" w:rsidR="00712D64" w:rsidRDefault="00712D64" w:rsidP="00712D64">
      <w:pPr>
        <w:pStyle w:val="BodyText"/>
      </w:pPr>
      <w:r>
        <w:lastRenderedPageBreak/>
        <w:t xml:space="preserve">Note: Waste that is collected from your premises using a mobile service provider does not count towards the 500 kg limit for the wastes at your premises. However these collections must comply with the requirements set out in our </w:t>
      </w:r>
      <w:hyperlink r:id="rId15" w:history="1">
        <w:r w:rsidRPr="00B25D33">
          <w:rPr>
            <w:rStyle w:val="Hyperlink"/>
          </w:rPr>
          <w:t>guidance</w:t>
        </w:r>
        <w:r w:rsidR="00B25D33" w:rsidRPr="00B25D33">
          <w:rPr>
            <w:rStyle w:val="Hyperlink"/>
          </w:rPr>
          <w:t xml:space="preserve"> on mobile services</w:t>
        </w:r>
      </w:hyperlink>
      <w:r w:rsidR="00B25D33">
        <w:t xml:space="preserve">. </w:t>
      </w:r>
    </w:p>
    <w:p w14:paraId="035C4DE6" w14:textId="77777777" w:rsidR="00712D64" w:rsidRDefault="00712D64" w:rsidP="00712D64">
      <w:pPr>
        <w:pStyle w:val="BodyText"/>
      </w:pPr>
      <w:r>
        <w:t xml:space="preserve">There is no requirement for an exempt hazardous waste producer to inform the Natural resources Wales. It is a hazardous waste producer’s responsibility to </w:t>
      </w:r>
      <w:proofErr w:type="gramStart"/>
      <w:r>
        <w:t>show  that</w:t>
      </w:r>
      <w:proofErr w:type="gramEnd"/>
      <w:r>
        <w:t xml:space="preserve">  he  is  properly  exempt.  </w:t>
      </w:r>
      <w:proofErr w:type="gramStart"/>
      <w:r>
        <w:t>We  do</w:t>
      </w:r>
      <w:proofErr w:type="gramEnd"/>
      <w:r>
        <w:t xml:space="preserve">  not  maintain  a  list  of  these exemptions so you should not contact us to check this. Even if a producer does not need to notify their premises, they still need to follow other parts of the HWR. This includes any requirement to use consignment notes. For </w:t>
      </w:r>
      <w:proofErr w:type="gramStart"/>
      <w:r>
        <w:t>example</w:t>
      </w:r>
      <w:proofErr w:type="gramEnd"/>
      <w:r>
        <w:t xml:space="preserve"> an office, removing up to 500 kg hazardous waste, must prepare hazardous waste consignment notes in the normal way even if the premises do not need to be registered. </w:t>
      </w:r>
    </w:p>
    <w:p w14:paraId="34DEAFDC" w14:textId="77777777" w:rsidR="00712D64" w:rsidRDefault="00712D64" w:rsidP="000B27C4">
      <w:pPr>
        <w:pStyle w:val="Heading3"/>
      </w:pPr>
      <w:r>
        <w:t xml:space="preserve">I share my site and / or my waste storage area with others - do I need to notify my premises? </w:t>
      </w:r>
    </w:p>
    <w:p w14:paraId="5E0D4AD6" w14:textId="77777777" w:rsidR="00712D64" w:rsidRDefault="00712D64" w:rsidP="000B27C4">
      <w:pPr>
        <w:pStyle w:val="Heading4"/>
      </w:pPr>
      <w:r>
        <w:t xml:space="preserve">Example A  </w:t>
      </w:r>
    </w:p>
    <w:p w14:paraId="3EFCCB42" w14:textId="77777777" w:rsidR="00712D64" w:rsidRDefault="00712D64" w:rsidP="00712D64">
      <w:pPr>
        <w:pStyle w:val="BodyText"/>
      </w:pPr>
      <w:r>
        <w:t xml:space="preserve">Where a site consists of several buildings all within the control of </w:t>
      </w:r>
      <w:proofErr w:type="gramStart"/>
      <w:r>
        <w:t>the  same</w:t>
      </w:r>
      <w:proofErr w:type="gramEnd"/>
      <w:r>
        <w:t xml:space="preserve"> operator / business unit the buildings taken together will generally constitute a single premises. It will be a question of fact whether two buildings occupied by the same person will be </w:t>
      </w:r>
      <w:proofErr w:type="gramStart"/>
      <w:r>
        <w:t>on  the</w:t>
      </w:r>
      <w:proofErr w:type="gramEnd"/>
      <w:r>
        <w:t xml:space="preserve"> same site and can properly be regarded as the same premises. If there is no obvious common boundary around the two </w:t>
      </w:r>
      <w:proofErr w:type="gramStart"/>
      <w:r>
        <w:t>buildings</w:t>
      </w:r>
      <w:proofErr w:type="gramEnd"/>
      <w:r>
        <w:t xml:space="preserve"> it will be unlikely that the they are the same premises and more likely that each will have to be notified separately. Where there would be a single boundary for a site, but for a public or other highway dividing that site, Natural Resources Wales will treat the separate parts of the site on each side of the highway as comprising the same premises. </w:t>
      </w:r>
    </w:p>
    <w:p w14:paraId="030E82D0" w14:textId="77777777" w:rsidR="00712D64" w:rsidRDefault="00712D64" w:rsidP="00712D64">
      <w:pPr>
        <w:pStyle w:val="BodyText"/>
      </w:pPr>
      <w:r>
        <w:t xml:space="preserve">Similarly, in a tower block two adjacent floors occupied by the same producer may constitute the same premises. However, if two floors are separated by a floor occupied by a different producer, then they cannot be treated as single premises and will have to be notified separately. </w:t>
      </w:r>
    </w:p>
    <w:p w14:paraId="5EBD2540" w14:textId="77777777" w:rsidR="00712D64" w:rsidRDefault="00712D64" w:rsidP="000B27C4">
      <w:pPr>
        <w:pStyle w:val="Heading4"/>
      </w:pPr>
      <w:r>
        <w:t xml:space="preserve">Example B </w:t>
      </w:r>
    </w:p>
    <w:p w14:paraId="194AF13B" w14:textId="77777777" w:rsidR="00712D64" w:rsidRDefault="00712D64" w:rsidP="00712D64">
      <w:pPr>
        <w:pStyle w:val="BodyText"/>
      </w:pPr>
      <w:r>
        <w:t xml:space="preserve">Where there are several discrete units within a site, such as retail units within a shopping centre, each of those units will be separate premises and need to be notified separately. This would apply even if the shopping centre arranges for general waste collection to be taken to a separate central collection point within the centre. That separate collection point would also need to be notified as premises. We would not expect there to be consignment from the retail premises to the collection point, but we would expect consignment from the collection point. We would expect that the operator of the collection point to have a system in place that enables them to properly complete (including full description of the waste, identification of the producer of the waste, and the hazardous properties) the consignment note when the waste is removed from the collection point. </w:t>
      </w:r>
    </w:p>
    <w:p w14:paraId="0B5B89AD" w14:textId="77777777" w:rsidR="00712D64" w:rsidRDefault="00712D64" w:rsidP="000B27C4">
      <w:pPr>
        <w:pStyle w:val="Heading4"/>
      </w:pPr>
      <w:r>
        <w:lastRenderedPageBreak/>
        <w:t xml:space="preserve">Example C  </w:t>
      </w:r>
    </w:p>
    <w:p w14:paraId="6B151AE7" w14:textId="6D3B2ECD" w:rsidR="00712D64" w:rsidRDefault="00712D64" w:rsidP="00712D64">
      <w:pPr>
        <w:pStyle w:val="BodyText"/>
      </w:pPr>
      <w:r>
        <w:t>The same principles concerning notification of premises set out in Example B can</w:t>
      </w:r>
      <w:r w:rsidR="009A6058">
        <w:t xml:space="preserve"> </w:t>
      </w:r>
      <w:r>
        <w:t>be</w:t>
      </w:r>
      <w:r w:rsidR="009A6058">
        <w:t xml:space="preserve"> </w:t>
      </w:r>
      <w:r>
        <w:t>applied</w:t>
      </w:r>
      <w:r w:rsidR="009A6058">
        <w:t xml:space="preserve"> </w:t>
      </w:r>
      <w:r>
        <w:t>to</w:t>
      </w:r>
      <w:r w:rsidR="009A6058">
        <w:t xml:space="preserve"> </w:t>
      </w:r>
      <w:r>
        <w:t>hospital</w:t>
      </w:r>
      <w:r w:rsidR="009A6058">
        <w:t xml:space="preserve"> </w:t>
      </w:r>
      <w:r>
        <w:t>sites</w:t>
      </w:r>
      <w:r w:rsidR="009A6058">
        <w:t xml:space="preserve"> </w:t>
      </w:r>
      <w:r>
        <w:t>occupied</w:t>
      </w:r>
      <w:r w:rsidR="009A6058">
        <w:t xml:space="preserve"> </w:t>
      </w:r>
      <w:r>
        <w:t>by</w:t>
      </w:r>
      <w:r w:rsidR="009A6058">
        <w:t xml:space="preserve"> </w:t>
      </w:r>
      <w:r>
        <w:t xml:space="preserve">multiple organisations. If there is a discrete unit operated by a producer of hazardous waste that unit is likely to be separate premises and should be notified. </w:t>
      </w:r>
    </w:p>
    <w:p w14:paraId="27EA2C2D" w14:textId="77777777" w:rsidR="00712D64" w:rsidRDefault="00712D64" w:rsidP="000B27C4">
      <w:pPr>
        <w:pStyle w:val="Heading4"/>
      </w:pPr>
      <w:r>
        <w:t xml:space="preserve">Example D  </w:t>
      </w:r>
    </w:p>
    <w:p w14:paraId="24FA18E6" w14:textId="77777777" w:rsidR="009A6058" w:rsidRDefault="00712D64" w:rsidP="00712D64">
      <w:pPr>
        <w:pStyle w:val="BodyText"/>
      </w:pPr>
      <w:r>
        <w:t xml:space="preserve">Where there is an open yard and several operators each have responsibility for and use of a clearly defined part of that yard each part should be notified. Where there is no clear distinction the entire premises should be notified. The total amount of hazardous waste produced by all the producers at the site should be </w:t>
      </w:r>
      <w:proofErr w:type="gramStart"/>
      <w:r>
        <w:t>taken into account</w:t>
      </w:r>
      <w:proofErr w:type="gramEnd"/>
      <w:r>
        <w:t xml:space="preserve"> in deciding whether the premises are exempt or not. If there is any doubt whether the premises are exempt or not, it is open to any of the operators of the yard to notify the premises. If the premises are not notified and the exemption limit is exceeded, all the producers may be liable to enforcement action. </w:t>
      </w:r>
    </w:p>
    <w:p w14:paraId="3DE55AED" w14:textId="77777777" w:rsidR="009A6058" w:rsidRDefault="00712D64" w:rsidP="009A6058">
      <w:pPr>
        <w:pStyle w:val="Heading4"/>
      </w:pPr>
      <w:r>
        <w:t xml:space="preserve">Example E </w:t>
      </w:r>
    </w:p>
    <w:p w14:paraId="23B61225" w14:textId="56F9880E" w:rsidR="00712D64" w:rsidRDefault="00712D64" w:rsidP="00712D64">
      <w:pPr>
        <w:pStyle w:val="BodyText"/>
      </w:pPr>
      <w:r>
        <w:t xml:space="preserve">A contaminated land site where more than one producer may be operating at any one time (unless there is a genuinely discrete area operated as separate premises from the contaminated land site) can be treated as single premises and notified once. The obligation for the notification should generally be arranged by the main contractor for the site. We would not expect each sub- contractor to notify the premises separately.  </w:t>
      </w:r>
    </w:p>
    <w:p w14:paraId="1AE2E398" w14:textId="77777777" w:rsidR="00712D64" w:rsidRDefault="00712D64" w:rsidP="000B27C4">
      <w:pPr>
        <w:pStyle w:val="Heading3"/>
      </w:pPr>
      <w:r>
        <w:t xml:space="preserve">Collection area within retail unit </w:t>
      </w:r>
    </w:p>
    <w:p w14:paraId="0D420302" w14:textId="77777777" w:rsidR="00712D64" w:rsidRDefault="00712D64" w:rsidP="000B27C4">
      <w:pPr>
        <w:pStyle w:val="Heading4"/>
      </w:pPr>
      <w:r>
        <w:t xml:space="preserve">I’m operating a transfer station. Do I need to notify my premises? </w:t>
      </w:r>
    </w:p>
    <w:p w14:paraId="5E5DD02A" w14:textId="5158C3F1" w:rsidR="00CD0AA9" w:rsidRPr="00EA46A6" w:rsidRDefault="00712D64" w:rsidP="00712D64">
      <w:pPr>
        <w:pStyle w:val="BodyText"/>
      </w:pPr>
      <w:r>
        <w:t>Yes. Waste transfer stations or collection points will be required to notify because they are premises which hold hazardous waste. Notification is not only to do with production of waste.</w:t>
      </w:r>
    </w:p>
    <w:sectPr w:rsidR="00CD0AA9" w:rsidRPr="00EA46A6" w:rsidSect="00EF38E7">
      <w:headerReference w:type="even" r:id="rId16"/>
      <w:headerReference w:type="default" r:id="rId17"/>
      <w:footerReference w:type="even" r:id="rId18"/>
      <w:footerReference w:type="default" r:id="rId19"/>
      <w:headerReference w:type="first" r:id="rId20"/>
      <w:footerReference w:type="first" r:id="rId21"/>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75DE" w14:textId="77777777" w:rsidR="007B06E2" w:rsidRDefault="007B06E2" w:rsidP="003B1B95">
      <w:r>
        <w:separator/>
      </w:r>
    </w:p>
  </w:endnote>
  <w:endnote w:type="continuationSeparator" w:id="0">
    <w:p w14:paraId="29F37D9B" w14:textId="77777777" w:rsidR="007B06E2" w:rsidRDefault="007B06E2"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796D" w14:textId="77777777" w:rsidR="009576DE" w:rsidRDefault="0095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9B13" w14:textId="77777777" w:rsidR="009576DE" w:rsidRDefault="00957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13B4" w14:textId="77777777" w:rsidR="009576DE" w:rsidRDefault="0095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6F7C9" w14:textId="77777777" w:rsidR="007B06E2" w:rsidRDefault="007B06E2" w:rsidP="003B1B95">
      <w:r>
        <w:separator/>
      </w:r>
    </w:p>
  </w:footnote>
  <w:footnote w:type="continuationSeparator" w:id="0">
    <w:p w14:paraId="57B16C11" w14:textId="77777777" w:rsidR="007B06E2" w:rsidRDefault="007B06E2"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2DCD" w14:textId="77777777" w:rsidR="009576DE" w:rsidRDefault="0095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739A" w14:textId="77777777" w:rsidR="00881C67" w:rsidRDefault="00881C67" w:rsidP="00580178">
    <w:pPr>
      <w:pStyle w:val="Header"/>
    </w:pPr>
  </w:p>
  <w:p w14:paraId="63B3739B" w14:textId="77777777" w:rsidR="00881C67" w:rsidRDefault="00881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739E" w14:textId="0F05D20F" w:rsidR="00881C67" w:rsidRDefault="004F15CD" w:rsidP="00EA46A6">
    <w:pPr>
      <w:pStyle w:val="BodyText"/>
    </w:pPr>
    <w:r>
      <w:rPr>
        <w:noProof/>
      </w:rPr>
      <w:drawing>
        <wp:inline distT="0" distB="0" distL="0" distR="0" wp14:anchorId="63B373A0" wp14:editId="2C9FAA49">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2" w15:restartNumberingAfterBreak="0">
    <w:nsid w:val="326F1C95"/>
    <w:multiLevelType w:val="hybridMultilevel"/>
    <w:tmpl w:val="5652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5DE0D522"/>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72E6FCA"/>
    <w:multiLevelType w:val="hybridMultilevel"/>
    <w:tmpl w:val="F43E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53C43EAB"/>
    <w:multiLevelType w:val="hybridMultilevel"/>
    <w:tmpl w:val="EE5A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8"/>
  </w:num>
  <w:num w:numId="8">
    <w:abstractNumId w:val="0"/>
  </w:num>
  <w:num w:numId="9">
    <w:abstractNumId w:val="0"/>
  </w:num>
  <w:num w:numId="10">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1"/>
  </w:num>
  <w:num w:numId="17">
    <w:abstractNumId w:val="10"/>
  </w:num>
  <w:num w:numId="18">
    <w:abstractNumId w:val="7"/>
  </w:num>
  <w:num w:numId="19">
    <w:abstractNumId w:val="4"/>
    <w:lvlOverride w:ilvl="0">
      <w:lvl w:ilvl="0">
        <w:start w:val="1"/>
        <w:numFmt w:val="bullet"/>
        <w:pStyle w:val="Bullets"/>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67"/>
    <w:rsid w:val="0003584B"/>
    <w:rsid w:val="0006469D"/>
    <w:rsid w:val="00071E5F"/>
    <w:rsid w:val="00081B13"/>
    <w:rsid w:val="000A3E03"/>
    <w:rsid w:val="000B27C4"/>
    <w:rsid w:val="000D1041"/>
    <w:rsid w:val="000D42BC"/>
    <w:rsid w:val="0010023A"/>
    <w:rsid w:val="00111C12"/>
    <w:rsid w:val="00124C2B"/>
    <w:rsid w:val="00163204"/>
    <w:rsid w:val="001C0F4F"/>
    <w:rsid w:val="001E34B7"/>
    <w:rsid w:val="00227FCF"/>
    <w:rsid w:val="002310C5"/>
    <w:rsid w:val="0024267B"/>
    <w:rsid w:val="0024550F"/>
    <w:rsid w:val="0026328C"/>
    <w:rsid w:val="00295704"/>
    <w:rsid w:val="002B0FE6"/>
    <w:rsid w:val="002C1957"/>
    <w:rsid w:val="002C7D1B"/>
    <w:rsid w:val="002D1C88"/>
    <w:rsid w:val="002D1E23"/>
    <w:rsid w:val="002F3CF9"/>
    <w:rsid w:val="00301855"/>
    <w:rsid w:val="00323656"/>
    <w:rsid w:val="00325394"/>
    <w:rsid w:val="00366E8B"/>
    <w:rsid w:val="0037188A"/>
    <w:rsid w:val="00374C28"/>
    <w:rsid w:val="003A37E6"/>
    <w:rsid w:val="003A4B9C"/>
    <w:rsid w:val="003B1B95"/>
    <w:rsid w:val="003E31B8"/>
    <w:rsid w:val="00407B03"/>
    <w:rsid w:val="00421C65"/>
    <w:rsid w:val="00436A14"/>
    <w:rsid w:val="004472B8"/>
    <w:rsid w:val="004517DE"/>
    <w:rsid w:val="00491598"/>
    <w:rsid w:val="004A2C4D"/>
    <w:rsid w:val="004B4D3A"/>
    <w:rsid w:val="004B55D4"/>
    <w:rsid w:val="004D606F"/>
    <w:rsid w:val="004E070B"/>
    <w:rsid w:val="004E21FB"/>
    <w:rsid w:val="004F15CD"/>
    <w:rsid w:val="00504C76"/>
    <w:rsid w:val="00507478"/>
    <w:rsid w:val="005118F5"/>
    <w:rsid w:val="0051775A"/>
    <w:rsid w:val="005364A1"/>
    <w:rsid w:val="00550BF2"/>
    <w:rsid w:val="00552D0B"/>
    <w:rsid w:val="00580178"/>
    <w:rsid w:val="005A0D52"/>
    <w:rsid w:val="005B301B"/>
    <w:rsid w:val="005C5B4F"/>
    <w:rsid w:val="005C5EE6"/>
    <w:rsid w:val="0066120C"/>
    <w:rsid w:val="00666BB5"/>
    <w:rsid w:val="006B620B"/>
    <w:rsid w:val="006D6756"/>
    <w:rsid w:val="006E1121"/>
    <w:rsid w:val="006E6741"/>
    <w:rsid w:val="006E7FA2"/>
    <w:rsid w:val="00707251"/>
    <w:rsid w:val="00712D64"/>
    <w:rsid w:val="0075201E"/>
    <w:rsid w:val="00773040"/>
    <w:rsid w:val="00780D50"/>
    <w:rsid w:val="00783751"/>
    <w:rsid w:val="00783CEA"/>
    <w:rsid w:val="00794C61"/>
    <w:rsid w:val="007A78C9"/>
    <w:rsid w:val="007B06E2"/>
    <w:rsid w:val="007C7F2F"/>
    <w:rsid w:val="00820898"/>
    <w:rsid w:val="00832030"/>
    <w:rsid w:val="00842FC5"/>
    <w:rsid w:val="008456CD"/>
    <w:rsid w:val="0084707A"/>
    <w:rsid w:val="0085223F"/>
    <w:rsid w:val="00861D04"/>
    <w:rsid w:val="00875D8F"/>
    <w:rsid w:val="00881C67"/>
    <w:rsid w:val="008837A9"/>
    <w:rsid w:val="00897388"/>
    <w:rsid w:val="008A0F5F"/>
    <w:rsid w:val="008A28D6"/>
    <w:rsid w:val="008A56C7"/>
    <w:rsid w:val="008C007F"/>
    <w:rsid w:val="008D7A83"/>
    <w:rsid w:val="008E6805"/>
    <w:rsid w:val="008F11CB"/>
    <w:rsid w:val="009020F6"/>
    <w:rsid w:val="0095246A"/>
    <w:rsid w:val="009576DE"/>
    <w:rsid w:val="00967FB8"/>
    <w:rsid w:val="00977CDE"/>
    <w:rsid w:val="009A383A"/>
    <w:rsid w:val="009A6058"/>
    <w:rsid w:val="009B37B8"/>
    <w:rsid w:val="009F79F4"/>
    <w:rsid w:val="00A110C7"/>
    <w:rsid w:val="00A15100"/>
    <w:rsid w:val="00A36091"/>
    <w:rsid w:val="00A63022"/>
    <w:rsid w:val="00A64662"/>
    <w:rsid w:val="00A73E72"/>
    <w:rsid w:val="00A908E3"/>
    <w:rsid w:val="00AA54D9"/>
    <w:rsid w:val="00AB7169"/>
    <w:rsid w:val="00AE4565"/>
    <w:rsid w:val="00AF5EC2"/>
    <w:rsid w:val="00AF7309"/>
    <w:rsid w:val="00B02CD4"/>
    <w:rsid w:val="00B25D33"/>
    <w:rsid w:val="00B26F65"/>
    <w:rsid w:val="00B300B0"/>
    <w:rsid w:val="00B322A0"/>
    <w:rsid w:val="00B329CA"/>
    <w:rsid w:val="00B56355"/>
    <w:rsid w:val="00B8223E"/>
    <w:rsid w:val="00B90A54"/>
    <w:rsid w:val="00BA4AE0"/>
    <w:rsid w:val="00BA56BA"/>
    <w:rsid w:val="00BD3375"/>
    <w:rsid w:val="00BF4F83"/>
    <w:rsid w:val="00C2002D"/>
    <w:rsid w:val="00C31E03"/>
    <w:rsid w:val="00C332A7"/>
    <w:rsid w:val="00C37E1F"/>
    <w:rsid w:val="00C44639"/>
    <w:rsid w:val="00C55B14"/>
    <w:rsid w:val="00C70646"/>
    <w:rsid w:val="00C907AC"/>
    <w:rsid w:val="00CB0986"/>
    <w:rsid w:val="00CC6BEF"/>
    <w:rsid w:val="00CC7AE2"/>
    <w:rsid w:val="00CD0AA9"/>
    <w:rsid w:val="00CD4B48"/>
    <w:rsid w:val="00CE72E1"/>
    <w:rsid w:val="00CF5800"/>
    <w:rsid w:val="00D1147D"/>
    <w:rsid w:val="00D30CC0"/>
    <w:rsid w:val="00D4293C"/>
    <w:rsid w:val="00D56A48"/>
    <w:rsid w:val="00D61DAA"/>
    <w:rsid w:val="00DA28F1"/>
    <w:rsid w:val="00E12968"/>
    <w:rsid w:val="00E3072A"/>
    <w:rsid w:val="00EA1E4A"/>
    <w:rsid w:val="00EA1F90"/>
    <w:rsid w:val="00EA46A6"/>
    <w:rsid w:val="00EA5293"/>
    <w:rsid w:val="00EB4078"/>
    <w:rsid w:val="00ED5FFD"/>
    <w:rsid w:val="00EE01DB"/>
    <w:rsid w:val="00EE6FB7"/>
    <w:rsid w:val="00EF38E7"/>
    <w:rsid w:val="00F22179"/>
    <w:rsid w:val="00F258E2"/>
    <w:rsid w:val="00F25E50"/>
    <w:rsid w:val="00F4177D"/>
    <w:rsid w:val="00F63843"/>
    <w:rsid w:val="00F64E34"/>
    <w:rsid w:val="00FB70DB"/>
    <w:rsid w:val="00FC39DE"/>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91a5">
      <v:stroke color="#0091a5" weight="1pt"/>
      <o:colormru v:ext="edit" colors="#0091a5"/>
    </o:shapedefaults>
    <o:shapelayout v:ext="edit">
      <o:idmap v:ext="edit" data="1"/>
    </o:shapelayout>
  </w:shapeDefaults>
  <w:decimalSymbol w:val="."/>
  <w:listSeparator w:val=","/>
  <w14:docId w14:val="63B3737C"/>
  <w15:chartTrackingRefBased/>
  <w15:docId w15:val="{549190E8-6156-418D-9D1F-53A4C7F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4472B8"/>
    <w:rPr>
      <w:rFonts w:ascii="Times New Roman" w:eastAsia="Calibri" w:hAnsi="Times New Roman"/>
      <w:sz w:val="24"/>
      <w:szCs w:val="24"/>
    </w:rPr>
  </w:style>
  <w:style w:type="paragraph" w:styleId="Heading1">
    <w:name w:val="heading 1"/>
    <w:basedOn w:val="PlainText"/>
    <w:next w:val="BodyText"/>
    <w:link w:val="Heading1Char"/>
    <w:qFormat/>
    <w:rsid w:val="00EA46A6"/>
    <w:pPr>
      <w:keepNext/>
      <w:keepLines/>
      <w:spacing w:before="240" w:after="240"/>
      <w:outlineLvl w:val="0"/>
    </w:pPr>
    <w:rPr>
      <w:rFonts w:ascii="Arial" w:hAnsi="Arial"/>
      <w:b/>
      <w:bCs/>
      <w:color w:val="005546"/>
      <w:sz w:val="52"/>
      <w:szCs w:val="28"/>
    </w:rPr>
  </w:style>
  <w:style w:type="paragraph" w:styleId="Heading2">
    <w:name w:val="heading 2"/>
    <w:basedOn w:val="Normal"/>
    <w:next w:val="BodyText"/>
    <w:link w:val="Heading2Char"/>
    <w:qFormat/>
    <w:rsid w:val="00EA46A6"/>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EA46A6"/>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EA46A6"/>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EA46A6"/>
    <w:rPr>
      <w:rFonts w:eastAsia="Calibri"/>
      <w:b/>
      <w:bCs/>
      <w:color w:val="005546"/>
      <w:sz w:val="52"/>
      <w:szCs w:val="28"/>
    </w:rPr>
  </w:style>
  <w:style w:type="character" w:customStyle="1" w:styleId="Heading2Char">
    <w:name w:val="Heading 2 Char"/>
    <w:link w:val="Heading2"/>
    <w:rsid w:val="00EA46A6"/>
    <w:rPr>
      <w:rFonts w:eastAsia="Calibri"/>
      <w:b/>
      <w:bCs/>
      <w:color w:val="005546"/>
      <w:sz w:val="36"/>
      <w:szCs w:val="26"/>
    </w:rPr>
  </w:style>
  <w:style w:type="paragraph" w:customStyle="1" w:styleId="Bullets">
    <w:name w:val="Bullets"/>
    <w:basedOn w:val="Normal"/>
    <w:qFormat/>
    <w:rsid w:val="00EA46A6"/>
    <w:pPr>
      <w:numPr>
        <w:numId w:val="19"/>
      </w:numPr>
    </w:pPr>
    <w:rPr>
      <w:rFonts w:ascii="Arial" w:hAnsi="Arial"/>
      <w:color w:val="000000"/>
    </w:rPr>
  </w:style>
  <w:style w:type="paragraph" w:styleId="BodyText">
    <w:name w:val="Body Text"/>
    <w:basedOn w:val="Normal"/>
    <w:link w:val="BodyTextChar"/>
    <w:qFormat/>
    <w:rsid w:val="00EA46A6"/>
    <w:pPr>
      <w:spacing w:before="120" w:after="240"/>
    </w:pPr>
    <w:rPr>
      <w:rFonts w:ascii="Arial" w:hAnsi="Arial"/>
      <w:color w:val="000000"/>
    </w:rPr>
  </w:style>
  <w:style w:type="character" w:customStyle="1" w:styleId="BodyTextChar">
    <w:name w:val="Body Text Char"/>
    <w:link w:val="BodyText"/>
    <w:rsid w:val="00EA46A6"/>
    <w:rPr>
      <w:rFonts w:eastAsia="Calibri"/>
      <w:color w:val="000000"/>
      <w:sz w:val="24"/>
      <w:szCs w:val="24"/>
    </w:rPr>
  </w:style>
  <w:style w:type="character" w:customStyle="1" w:styleId="Heading3Char">
    <w:name w:val="Heading 3 Char"/>
    <w:link w:val="Heading3"/>
    <w:rsid w:val="00EA46A6"/>
    <w:rPr>
      <w:rFonts w:eastAsia="Calibri"/>
      <w:b/>
      <w:bCs/>
      <w:color w:val="005546"/>
      <w:sz w:val="32"/>
      <w:szCs w:val="24"/>
    </w:rPr>
  </w:style>
  <w:style w:type="character" w:customStyle="1" w:styleId="Heading4Char">
    <w:name w:val="Heading 4 Char"/>
    <w:link w:val="Heading4"/>
    <w:rsid w:val="00EA46A6"/>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EA46A6"/>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customStyle="1" w:styleId="HeaderTitle">
    <w:name w:val="Header Title"/>
    <w:basedOn w:val="BodyText"/>
    <w:next w:val="BodyText"/>
    <w:link w:val="HeaderTitleChar"/>
    <w:qFormat/>
    <w:rsid w:val="00EA46A6"/>
    <w:rPr>
      <w:b/>
      <w:color w:val="005546"/>
      <w:sz w:val="52"/>
    </w:rPr>
  </w:style>
  <w:style w:type="character" w:customStyle="1" w:styleId="HeaderTitleChar">
    <w:name w:val="Header Title Char"/>
    <w:basedOn w:val="BodyTextChar"/>
    <w:link w:val="HeaderTitle"/>
    <w:rsid w:val="00EA46A6"/>
    <w:rPr>
      <w:rFonts w:eastAsia="Calibri"/>
      <w:b/>
      <w:color w:val="005546"/>
      <w:sz w:val="52"/>
      <w:szCs w:val="24"/>
    </w:rPr>
  </w:style>
  <w:style w:type="paragraph" w:styleId="Title">
    <w:name w:val="Title"/>
    <w:basedOn w:val="Normal"/>
    <w:next w:val="Normal"/>
    <w:link w:val="TitleChar"/>
    <w:qFormat/>
    <w:rsid w:val="00EA46A6"/>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EA46A6"/>
    <w:rPr>
      <w:rFonts w:eastAsiaTheme="majorEastAsia" w:cs="Arial"/>
      <w:b/>
      <w:color w:val="005546"/>
      <w:spacing w:val="-10"/>
      <w:kern w:val="28"/>
      <w:sz w:val="56"/>
      <w:szCs w:val="56"/>
    </w:rPr>
  </w:style>
  <w:style w:type="paragraph" w:styleId="Subtitle">
    <w:name w:val="Subtitle"/>
    <w:basedOn w:val="Normal"/>
    <w:next w:val="Normal"/>
    <w:link w:val="SubtitleChar"/>
    <w:qFormat/>
    <w:rsid w:val="00EA46A6"/>
    <w:pPr>
      <w:numPr>
        <w:ilvl w:val="1"/>
      </w:numPr>
      <w:spacing w:after="160"/>
    </w:pPr>
    <w:rPr>
      <w:rFonts w:ascii="Arial" w:eastAsiaTheme="minorEastAsia" w:hAnsi="Arial" w:cstheme="minorBidi"/>
      <w:color w:val="5A5A5A"/>
      <w:spacing w:val="15"/>
      <w:sz w:val="28"/>
      <w:szCs w:val="22"/>
    </w:rPr>
  </w:style>
  <w:style w:type="character" w:customStyle="1" w:styleId="SubtitleChar">
    <w:name w:val="Subtitle Char"/>
    <w:basedOn w:val="DefaultParagraphFont"/>
    <w:link w:val="Subtitle"/>
    <w:rsid w:val="00EA46A6"/>
    <w:rPr>
      <w:rFonts w:eastAsiaTheme="minorEastAsia" w:cstheme="minorBidi"/>
      <w:color w:val="5A5A5A"/>
      <w:spacing w:val="15"/>
      <w:sz w:val="28"/>
      <w:szCs w:val="22"/>
    </w:rPr>
  </w:style>
  <w:style w:type="paragraph" w:styleId="ListParagraph">
    <w:name w:val="List Paragraph"/>
    <w:basedOn w:val="Normal"/>
    <w:uiPriority w:val="34"/>
    <w:qFormat/>
    <w:rsid w:val="00712D64"/>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5C5B4F"/>
    <w:rPr>
      <w:sz w:val="16"/>
      <w:szCs w:val="16"/>
    </w:rPr>
  </w:style>
  <w:style w:type="paragraph" w:styleId="CommentText">
    <w:name w:val="annotation text"/>
    <w:basedOn w:val="Normal"/>
    <w:link w:val="CommentTextChar"/>
    <w:rsid w:val="005C5B4F"/>
    <w:rPr>
      <w:sz w:val="20"/>
      <w:szCs w:val="20"/>
    </w:rPr>
  </w:style>
  <w:style w:type="character" w:customStyle="1" w:styleId="CommentTextChar">
    <w:name w:val="Comment Text Char"/>
    <w:basedOn w:val="DefaultParagraphFont"/>
    <w:link w:val="CommentText"/>
    <w:rsid w:val="005C5B4F"/>
    <w:rPr>
      <w:rFonts w:ascii="Times New Roman" w:eastAsia="Calibri" w:hAnsi="Times New Roman"/>
    </w:rPr>
  </w:style>
  <w:style w:type="paragraph" w:styleId="CommentSubject">
    <w:name w:val="annotation subject"/>
    <w:basedOn w:val="CommentText"/>
    <w:next w:val="CommentText"/>
    <w:link w:val="CommentSubjectChar"/>
    <w:rsid w:val="005C5B4F"/>
    <w:rPr>
      <w:b/>
      <w:bCs/>
    </w:rPr>
  </w:style>
  <w:style w:type="character" w:customStyle="1" w:styleId="CommentSubjectChar">
    <w:name w:val="Comment Subject Char"/>
    <w:basedOn w:val="CommentTextChar"/>
    <w:link w:val="CommentSubject"/>
    <w:rsid w:val="005C5B4F"/>
    <w:rPr>
      <w:rFonts w:ascii="Times New Roman" w:eastAsia="Calibri" w:hAnsi="Times New Roman"/>
      <w:b/>
      <w:bCs/>
    </w:rPr>
  </w:style>
  <w:style w:type="character" w:styleId="UnresolvedMention">
    <w:name w:val="Unresolved Mention"/>
    <w:basedOn w:val="DefaultParagraphFont"/>
    <w:uiPriority w:val="99"/>
    <w:semiHidden/>
    <w:unhideWhenUsed/>
    <w:rsid w:val="005C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alresources.wales/permits-and-permissions/waste-permitting/register-or-renew-as-a-hazardous-waste-producer/?lang=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naturalresources.wales/permits-and-permissions/waste-permitting/register-or-renew-as-a-hazardous-waste-producer/?la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turalresources.wales/permits-and-permissions/waste-permitting/register-or-renew-as-a-hazardous-waste-producer/?lang=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turalresources.wales/permits-and-permissions/waste-permitting/register-as-a-waste-carrier-broker-or-dealer/?lang=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FDE4D7AE2564794545D3074832749" ma:contentTypeVersion="9" ma:contentTypeDescription="Create a new document." ma:contentTypeScope="" ma:versionID="b9ab0233686aaf868e7d33713a51d1d5">
  <xsd:schema xmlns:xsd="http://www.w3.org/2001/XMLSchema" xmlns:xs="http://www.w3.org/2001/XMLSchema" xmlns:p="http://schemas.microsoft.com/office/2006/metadata/properties" xmlns:ns3="cba6d443-d7b3-4f6f-aa8c-447441671744" targetNamespace="http://schemas.microsoft.com/office/2006/metadata/properties" ma:root="true" ma:fieldsID="ec443050156ae4dc6e8266509b2d46d2" ns3:_="">
    <xsd:import namespace="cba6d443-d7b3-4f6f-aa8c-4474416717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6d443-d7b3-4f6f-aa8c-44744167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B2CA-3BBE-425C-B49C-D8B9F53AC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6d443-d7b3-4f6f-aa8c-44744167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4.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5.xml><?xml version="1.0" encoding="utf-8"?>
<ds:datastoreItem xmlns:ds="http://schemas.openxmlformats.org/officeDocument/2006/customXml" ds:itemID="{51852573-BAD8-492E-833E-4D5E4DB4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6</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jan_e</dc:creator>
  <cp:keywords/>
  <cp:lastModifiedBy>Evans, Samantha</cp:lastModifiedBy>
  <cp:revision>8</cp:revision>
  <cp:lastPrinted>2013-10-01T07:52:00Z</cp:lastPrinted>
  <dcterms:created xsi:type="dcterms:W3CDTF">2020-09-30T20:11:00Z</dcterms:created>
  <dcterms:modified xsi:type="dcterms:W3CDTF">2020-09-30T20:20:00Z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0752d1c0-1808-4046-bd58-bb7bb1b13cb7</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0x010100957FDE4D7AE2564794545D3074832749</vt:lpwstr>
  </property>
  <property fmtid="{D5CDD505-2E9C-101B-9397-08002B2CF9AE}" pid="7" name="SharedWithUsers">
    <vt:lpwstr>479;#Jenkins, Helen Sian</vt:lpwstr>
  </property>
</Properties>
</file>